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18702" w14:textId="0A6C773C" w:rsidR="008A3BD9" w:rsidRDefault="009B44CF">
      <w:pPr>
        <w:rPr>
          <w:b/>
          <w:bCs/>
          <w:lang w:val="en-US"/>
        </w:rPr>
      </w:pPr>
      <w:r w:rsidRPr="009B44CF">
        <w:rPr>
          <w:b/>
          <w:bCs/>
          <w:lang w:val="en-US"/>
        </w:rPr>
        <w:t xml:space="preserve">Antinociception induced by the inhibition of </w:t>
      </w:r>
      <w:r>
        <w:rPr>
          <w:b/>
          <w:bCs/>
          <w:lang w:val="en-US"/>
        </w:rPr>
        <w:t>the</w:t>
      </w:r>
      <w:r w:rsidR="003F27C8" w:rsidRPr="009B44CF">
        <w:rPr>
          <w:b/>
          <w:bCs/>
          <w:lang w:val="en-US"/>
        </w:rPr>
        <w:t xml:space="preserve"> soluble epoxide hydrolase </w:t>
      </w:r>
      <w:r w:rsidRPr="009B44CF">
        <w:rPr>
          <w:b/>
          <w:bCs/>
          <w:lang w:val="en-US"/>
        </w:rPr>
        <w:t xml:space="preserve">enzyme </w:t>
      </w:r>
      <w:r w:rsidR="003F27C8" w:rsidRPr="009B44CF">
        <w:rPr>
          <w:b/>
          <w:bCs/>
          <w:lang w:val="en-US"/>
        </w:rPr>
        <w:t>in an orofacial chronic pain model in mice</w:t>
      </w:r>
    </w:p>
    <w:p w14:paraId="12E559A7" w14:textId="6BB5B355" w:rsidR="00976D35" w:rsidRPr="00217844" w:rsidRDefault="00976D35" w:rsidP="00976D35">
      <w:r w:rsidRPr="00217844">
        <w:t>Ana Claudia Gontijo Couto</w:t>
      </w:r>
      <w:r w:rsidRPr="00217844">
        <w:rPr>
          <w:vertAlign w:val="superscript"/>
        </w:rPr>
        <w:t>1</w:t>
      </w:r>
      <w:r w:rsidRPr="00217844">
        <w:t>, Thays Crosara Abrahão Cunha</w:t>
      </w:r>
      <w:r w:rsidRPr="00217844">
        <w:rPr>
          <w:vertAlign w:val="superscript"/>
        </w:rPr>
        <w:t>1</w:t>
      </w:r>
      <w:r w:rsidRPr="00217844">
        <w:t>,</w:t>
      </w:r>
      <w:r>
        <w:t xml:space="preserve"> Beatriz Vollet</w:t>
      </w:r>
      <w:r w:rsidRPr="00217844">
        <w:rPr>
          <w:vertAlign w:val="superscript"/>
        </w:rPr>
        <w:t>1</w:t>
      </w:r>
      <w:r>
        <w:t>, Carlos Trindade,</w:t>
      </w:r>
      <w:r w:rsidRPr="00217844">
        <w:t xml:space="preserve"> Eduardo Januzzi</w:t>
      </w:r>
      <w:r>
        <w:rPr>
          <w:vertAlign w:val="superscript"/>
        </w:rPr>
        <w:t>3</w:t>
      </w:r>
      <w:r w:rsidRPr="00217844">
        <w:t>, Cássia Regina Silva</w:t>
      </w:r>
      <w:r w:rsidRPr="00217844">
        <w:rPr>
          <w:vertAlign w:val="superscript"/>
        </w:rPr>
        <w:t>1</w:t>
      </w:r>
    </w:p>
    <w:p w14:paraId="03AD11D8" w14:textId="3BFD5490" w:rsidR="00976D35" w:rsidRPr="00976D35" w:rsidRDefault="00976D35" w:rsidP="00976D35">
      <w:pPr>
        <w:rPr>
          <w:lang w:val="en-US"/>
        </w:rPr>
      </w:pPr>
      <w:r w:rsidRPr="00976D35">
        <w:rPr>
          <w:lang w:val="en-US"/>
        </w:rPr>
        <w:t>1 Post-Graduated Program Genetics and Biochemistry, Institute of Biotechnology, Federal University of Uberlandia, Uberlandia, MG, Brazil</w:t>
      </w:r>
    </w:p>
    <w:p w14:paraId="030B83A1" w14:textId="1574452A" w:rsidR="00976D35" w:rsidRPr="00976D35" w:rsidRDefault="00976D35" w:rsidP="00976D35">
      <w:pPr>
        <w:rPr>
          <w:rFonts w:cs="Arial"/>
          <w:szCs w:val="24"/>
          <w:lang w:val="en-US"/>
        </w:rPr>
      </w:pPr>
      <w:r w:rsidRPr="00976D35">
        <w:rPr>
          <w:rFonts w:cs="Arial"/>
          <w:color w:val="231F20"/>
          <w:szCs w:val="24"/>
          <w:shd w:val="clear" w:color="auto" w:fill="FFFFFF"/>
          <w:lang w:val="en-US"/>
        </w:rPr>
        <w:t xml:space="preserve">2 </w:t>
      </w:r>
      <w:r w:rsidRPr="00976D35">
        <w:rPr>
          <w:rFonts w:cs="Arial"/>
          <w:szCs w:val="24"/>
          <w:shd w:val="clear" w:color="auto" w:fill="FFFFFF"/>
          <w:lang w:val="en-US"/>
        </w:rPr>
        <w:t xml:space="preserve">Laboratory of Neuroimmune Interface of Pain Research, </w:t>
      </w:r>
      <w:proofErr w:type="spellStart"/>
      <w:r w:rsidRPr="00976D35">
        <w:rPr>
          <w:rFonts w:cs="Arial"/>
          <w:szCs w:val="24"/>
          <w:shd w:val="clear" w:color="auto" w:fill="FFFFFF"/>
          <w:lang w:val="en-US"/>
        </w:rPr>
        <w:t>Faculdade</w:t>
      </w:r>
      <w:proofErr w:type="spellEnd"/>
      <w:r w:rsidRPr="00976D35">
        <w:rPr>
          <w:rFonts w:cs="Arial"/>
          <w:szCs w:val="24"/>
          <w:shd w:val="clear" w:color="auto" w:fill="FFFFFF"/>
          <w:lang w:val="en-US"/>
        </w:rPr>
        <w:t xml:space="preserve"> São Leopoldo Mandic, Instituto São Leopoldo Mandic, Campinas, Brazil</w:t>
      </w:r>
    </w:p>
    <w:p w14:paraId="21924B76" w14:textId="12D33EF9" w:rsidR="00976D35" w:rsidRPr="00976D35" w:rsidRDefault="00976D35" w:rsidP="00976D35">
      <w:pPr>
        <w:rPr>
          <w:lang w:val="en-US"/>
        </w:rPr>
      </w:pPr>
      <w:r w:rsidRPr="00976D35">
        <w:rPr>
          <w:lang w:val="en-US"/>
        </w:rPr>
        <w:t>3 Post-Graduated Program Orofacial Pain, CIODONTO, Belo Horizonte, MG, Braz</w:t>
      </w:r>
      <w:r>
        <w:rPr>
          <w:lang w:val="en-US"/>
        </w:rPr>
        <w:t>il</w:t>
      </w:r>
    </w:p>
    <w:p w14:paraId="707E9ABA" w14:textId="034F3A14" w:rsidR="001624A6" w:rsidRDefault="00570608" w:rsidP="009446F6">
      <w:pPr>
        <w:rPr>
          <w:lang w:val="en-US"/>
        </w:rPr>
      </w:pPr>
      <w:r w:rsidRPr="00570608">
        <w:rPr>
          <w:lang w:val="en-US"/>
        </w:rPr>
        <w:t>Orofacial pain (OFP) is extremely debilitating and refers to pain associated with the hard and soft tissues of the head, face, and neck, affecting about 26% of the population</w:t>
      </w:r>
      <w:r>
        <w:rPr>
          <w:lang w:val="en-US"/>
        </w:rPr>
        <w:t xml:space="preserve">. </w:t>
      </w:r>
      <w:r w:rsidRPr="00570608">
        <w:rPr>
          <w:lang w:val="en-US"/>
        </w:rPr>
        <w:t xml:space="preserve">The treatment for OFP conditions </w:t>
      </w:r>
      <w:r w:rsidR="0034161C">
        <w:rPr>
          <w:lang w:val="en-US"/>
        </w:rPr>
        <w:t xml:space="preserve">is still </w:t>
      </w:r>
      <w:r w:rsidRPr="00570608">
        <w:rPr>
          <w:lang w:val="en-US"/>
        </w:rPr>
        <w:t>a challenge for the health care services and pharmaceutical industry</w:t>
      </w:r>
      <w:r w:rsidR="0034161C">
        <w:rPr>
          <w:lang w:val="en-US"/>
        </w:rPr>
        <w:t xml:space="preserve"> and s</w:t>
      </w:r>
      <w:r w:rsidRPr="00570608">
        <w:rPr>
          <w:lang w:val="en-US"/>
        </w:rPr>
        <w:t>ome individuals are resistant and/or refractory to conventional approaches, motivating research in search of new therapeutic options</w:t>
      </w:r>
      <w:r w:rsidR="00612022">
        <w:rPr>
          <w:lang w:val="en-US"/>
        </w:rPr>
        <w:t>.</w:t>
      </w:r>
      <w:r w:rsidR="009446F6">
        <w:rPr>
          <w:lang w:val="en-US"/>
        </w:rPr>
        <w:t xml:space="preserve"> The </w:t>
      </w:r>
      <w:proofErr w:type="spellStart"/>
      <w:r w:rsidR="009446F6">
        <w:rPr>
          <w:lang w:val="en-US"/>
        </w:rPr>
        <w:t>sEH</w:t>
      </w:r>
      <w:proofErr w:type="spellEnd"/>
      <w:r w:rsidR="009446F6">
        <w:rPr>
          <w:lang w:val="en-US"/>
        </w:rPr>
        <w:t xml:space="preserve"> is an enzyme found in the mitochondria; it converts the</w:t>
      </w:r>
      <w:r w:rsidR="009B44CF">
        <w:rPr>
          <w:lang w:val="en-US"/>
        </w:rPr>
        <w:t xml:space="preserve"> epoxyeicosatrienoic acids</w:t>
      </w:r>
      <w:r w:rsidR="009446F6">
        <w:rPr>
          <w:lang w:val="en-US"/>
        </w:rPr>
        <w:t xml:space="preserve"> </w:t>
      </w:r>
      <w:r w:rsidR="009B44CF">
        <w:rPr>
          <w:lang w:val="en-US"/>
        </w:rPr>
        <w:t>(</w:t>
      </w:r>
      <w:r w:rsidR="009446F6">
        <w:rPr>
          <w:lang w:val="en-US"/>
        </w:rPr>
        <w:t>EETs</w:t>
      </w:r>
      <w:r w:rsidR="009B44CF">
        <w:rPr>
          <w:lang w:val="en-US"/>
        </w:rPr>
        <w:t>)</w:t>
      </w:r>
      <w:r w:rsidR="009446F6">
        <w:rPr>
          <w:lang w:val="en-US"/>
        </w:rPr>
        <w:t xml:space="preserve"> into 1,2-dihydroxy-fatty acids, reducing the EETs effects. </w:t>
      </w:r>
      <w:r w:rsidR="009B44CF">
        <w:rPr>
          <w:lang w:val="en-US"/>
        </w:rPr>
        <w:t>EETs</w:t>
      </w:r>
      <w:r w:rsidR="009446F6">
        <w:rPr>
          <w:lang w:val="en-US"/>
        </w:rPr>
        <w:t xml:space="preserve"> </w:t>
      </w:r>
      <w:r w:rsidR="009B44CF">
        <w:rPr>
          <w:lang w:val="en-US"/>
        </w:rPr>
        <w:t xml:space="preserve">are </w:t>
      </w:r>
      <w:r w:rsidR="009446F6">
        <w:rPr>
          <w:lang w:val="en-US"/>
        </w:rPr>
        <w:t>bioactive lipid</w:t>
      </w:r>
      <w:r w:rsidR="009B44CF">
        <w:rPr>
          <w:lang w:val="en-US"/>
        </w:rPr>
        <w:t>s</w:t>
      </w:r>
      <w:r w:rsidR="009446F6">
        <w:rPr>
          <w:lang w:val="en-US"/>
        </w:rPr>
        <w:t xml:space="preserve"> </w:t>
      </w:r>
      <w:r w:rsidR="009B44CF">
        <w:rPr>
          <w:lang w:val="en-US"/>
        </w:rPr>
        <w:t xml:space="preserve">resulted from the arachidonic acid metabolism and are </w:t>
      </w:r>
      <w:r w:rsidR="009446F6">
        <w:rPr>
          <w:lang w:val="en-US"/>
        </w:rPr>
        <w:t>associated with</w:t>
      </w:r>
      <w:r w:rsidR="009B44CF">
        <w:rPr>
          <w:lang w:val="en-US"/>
        </w:rPr>
        <w:t xml:space="preserve"> the generation of</w:t>
      </w:r>
      <w:r w:rsidR="009446F6">
        <w:rPr>
          <w:lang w:val="en-US"/>
        </w:rPr>
        <w:t xml:space="preserve"> pain and inflammation. </w:t>
      </w:r>
      <w:r w:rsidR="00CA4AF3">
        <w:rPr>
          <w:lang w:val="en-US"/>
        </w:rPr>
        <w:t xml:space="preserve">The </w:t>
      </w:r>
      <w:r w:rsidR="00CA4AF3" w:rsidRPr="007703C0">
        <w:rPr>
          <w:lang w:val="en-US"/>
        </w:rPr>
        <w:t>1-(1-propanoylpi-peridin-4-yl)-3-[4-(trifluoromethoxy)phenyl</w:t>
      </w:r>
      <w:r w:rsidR="00CA4AF3">
        <w:rPr>
          <w:lang w:val="en-US"/>
        </w:rPr>
        <w:t xml:space="preserve">] </w:t>
      </w:r>
      <w:r w:rsidR="00CA4AF3" w:rsidRPr="007703C0">
        <w:rPr>
          <w:lang w:val="en-US"/>
        </w:rPr>
        <w:t>urea</w:t>
      </w:r>
      <w:r w:rsidR="00CA4AF3">
        <w:rPr>
          <w:lang w:val="en-US"/>
        </w:rPr>
        <w:t xml:space="preserve"> (TPPU) is an inhibitor of soluble epoxide hydrolase (</w:t>
      </w:r>
      <w:proofErr w:type="spellStart"/>
      <w:r w:rsidR="00CA4AF3">
        <w:rPr>
          <w:lang w:val="en-US"/>
        </w:rPr>
        <w:t>sEH</w:t>
      </w:r>
      <w:proofErr w:type="spellEnd"/>
      <w:r w:rsidR="00CA4AF3">
        <w:rPr>
          <w:lang w:val="en-US"/>
        </w:rPr>
        <w:t>)</w:t>
      </w:r>
      <w:r w:rsidR="009B44CF">
        <w:rPr>
          <w:lang w:val="en-US"/>
        </w:rPr>
        <w:t xml:space="preserve"> enzyme</w:t>
      </w:r>
      <w:r w:rsidR="00CA4AF3">
        <w:rPr>
          <w:lang w:val="en-US"/>
        </w:rPr>
        <w:t>, that shows anti-inflammatory and antinociceptive effects</w:t>
      </w:r>
      <w:r w:rsidR="0034161C">
        <w:rPr>
          <w:lang w:val="en-US"/>
        </w:rPr>
        <w:t>, including chr</w:t>
      </w:r>
      <w:r w:rsidR="00AC333A">
        <w:rPr>
          <w:lang w:val="en-US"/>
        </w:rPr>
        <w:t>o</w:t>
      </w:r>
      <w:r w:rsidR="0034161C">
        <w:rPr>
          <w:lang w:val="en-US"/>
        </w:rPr>
        <w:t>nic pain, being a good option to test against orofacial pain.</w:t>
      </w:r>
      <w:r w:rsidR="00CA4AF3">
        <w:rPr>
          <w:lang w:val="en-US"/>
        </w:rPr>
        <w:t xml:space="preserve"> </w:t>
      </w:r>
      <w:r w:rsidR="00684385">
        <w:rPr>
          <w:lang w:val="en-US"/>
        </w:rPr>
        <w:t>Thus,</w:t>
      </w:r>
      <w:r w:rsidR="00CB6ACD">
        <w:rPr>
          <w:lang w:val="en-US"/>
        </w:rPr>
        <w:t xml:space="preserve"> this study aimed to evaluate the </w:t>
      </w:r>
      <w:r w:rsidR="009B44CF">
        <w:rPr>
          <w:lang w:val="en-US"/>
        </w:rPr>
        <w:t xml:space="preserve">possible </w:t>
      </w:r>
      <w:r w:rsidR="00CB6ACD">
        <w:rPr>
          <w:lang w:val="en-US"/>
        </w:rPr>
        <w:t>antinociceptive effects of TPPU in a chronic model of orofacial pain</w:t>
      </w:r>
      <w:r w:rsidR="00820F7F">
        <w:rPr>
          <w:lang w:val="en-US"/>
        </w:rPr>
        <w:t xml:space="preserve"> </w:t>
      </w:r>
      <w:r w:rsidR="00820F7F">
        <w:rPr>
          <w:lang w:val="en-US"/>
        </w:rPr>
        <w:lastRenderedPageBreak/>
        <w:t xml:space="preserve">induced by infraorbital </w:t>
      </w:r>
      <w:r w:rsidR="009B44CF">
        <w:rPr>
          <w:lang w:val="en-US"/>
        </w:rPr>
        <w:t xml:space="preserve">nerve </w:t>
      </w:r>
      <w:r w:rsidR="00820F7F">
        <w:rPr>
          <w:lang w:val="en-US"/>
        </w:rPr>
        <w:t>constriction</w:t>
      </w:r>
      <w:r w:rsidR="009B44CF">
        <w:rPr>
          <w:lang w:val="en-US"/>
        </w:rPr>
        <w:t xml:space="preserve"> (CION)</w:t>
      </w:r>
      <w:r w:rsidR="00CB6ACD">
        <w:rPr>
          <w:lang w:val="en-US"/>
        </w:rPr>
        <w:t>.</w:t>
      </w:r>
      <w:r w:rsidR="00D30259">
        <w:rPr>
          <w:lang w:val="en-US"/>
        </w:rPr>
        <w:t xml:space="preserve"> C57/BL6 </w:t>
      </w:r>
      <w:r w:rsidR="009B44CF">
        <w:rPr>
          <w:lang w:val="en-US"/>
        </w:rPr>
        <w:t xml:space="preserve">adult </w:t>
      </w:r>
      <w:r w:rsidR="00D30259">
        <w:rPr>
          <w:lang w:val="en-US"/>
        </w:rPr>
        <w:t xml:space="preserve">mice were </w:t>
      </w:r>
      <w:r w:rsidR="00D30259" w:rsidRPr="00D30259">
        <w:rPr>
          <w:lang w:val="en-US"/>
        </w:rPr>
        <w:t xml:space="preserve">trained for 3 days </w:t>
      </w:r>
      <w:r w:rsidR="00D42133">
        <w:rPr>
          <w:lang w:val="en-US"/>
        </w:rPr>
        <w:t>before</w:t>
      </w:r>
      <w:r w:rsidR="00D30259" w:rsidRPr="00D30259">
        <w:rPr>
          <w:lang w:val="en-US"/>
        </w:rPr>
        <w:t xml:space="preserve"> the surgery to obtain baseline values and then tested on postoperative days 1, 3, 5, 7, 10, 1</w:t>
      </w:r>
      <w:r w:rsidR="0004493A">
        <w:rPr>
          <w:lang w:val="en-US"/>
        </w:rPr>
        <w:t>5</w:t>
      </w:r>
      <w:r w:rsidR="00D42133">
        <w:rPr>
          <w:lang w:val="en-US"/>
        </w:rPr>
        <w:t>,</w:t>
      </w:r>
      <w:r w:rsidR="00D30259" w:rsidRPr="00D30259">
        <w:rPr>
          <w:lang w:val="en-US"/>
        </w:rPr>
        <w:t xml:space="preserve"> and 2</w:t>
      </w:r>
      <w:r w:rsidR="0004493A">
        <w:rPr>
          <w:lang w:val="en-US"/>
        </w:rPr>
        <w:t>0</w:t>
      </w:r>
      <w:r w:rsidR="00D30259" w:rsidRPr="00D30259">
        <w:rPr>
          <w:lang w:val="en-US"/>
        </w:rPr>
        <w:t>.</w:t>
      </w:r>
      <w:r w:rsidR="00D30259">
        <w:rPr>
          <w:lang w:val="en-US"/>
        </w:rPr>
        <w:t xml:space="preserve"> </w:t>
      </w:r>
      <w:r w:rsidR="00684385">
        <w:rPr>
          <w:lang w:val="en-US"/>
        </w:rPr>
        <w:t>For the</w:t>
      </w:r>
      <w:r w:rsidR="00820F7F">
        <w:rPr>
          <w:lang w:val="en-US"/>
        </w:rPr>
        <w:t xml:space="preserve"> </w:t>
      </w:r>
      <w:r w:rsidR="006A0AA4">
        <w:rPr>
          <w:lang w:val="en-US"/>
        </w:rPr>
        <w:t>C</w:t>
      </w:r>
      <w:r w:rsidR="00684385">
        <w:rPr>
          <w:lang w:val="en-US"/>
        </w:rPr>
        <w:t>IO</w:t>
      </w:r>
      <w:r w:rsidR="009B44CF">
        <w:rPr>
          <w:lang w:val="en-US"/>
        </w:rPr>
        <w:t>N procedure</w:t>
      </w:r>
      <w:r w:rsidR="00D42133">
        <w:rPr>
          <w:lang w:val="en-US"/>
        </w:rPr>
        <w:t>,</w:t>
      </w:r>
      <w:r w:rsidR="00684385">
        <w:rPr>
          <w:lang w:val="en-US"/>
        </w:rPr>
        <w:t xml:space="preserve"> the animals were anesthetized with ketamine and xylazine</w:t>
      </w:r>
      <w:r w:rsidR="008017B0">
        <w:rPr>
          <w:lang w:val="en-US"/>
        </w:rPr>
        <w:t xml:space="preserve"> and two</w:t>
      </w:r>
      <w:r w:rsidR="008017B0" w:rsidRPr="008017B0">
        <w:rPr>
          <w:lang w:val="en-US"/>
        </w:rPr>
        <w:t xml:space="preserve"> constrictive ligatures were placed around the infraorbital nerve</w:t>
      </w:r>
      <w:r w:rsidR="00704E3E">
        <w:rPr>
          <w:lang w:val="en-US"/>
        </w:rPr>
        <w:t xml:space="preserve"> (CEUA 117/16)</w:t>
      </w:r>
      <w:r w:rsidR="00C16E3A">
        <w:rPr>
          <w:lang w:val="en-US"/>
        </w:rPr>
        <w:t>.</w:t>
      </w:r>
      <w:r w:rsidR="00153C90">
        <w:rPr>
          <w:lang w:val="en-US"/>
        </w:rPr>
        <w:t xml:space="preserve"> We used a “Sham-operated” group, a “CION” </w:t>
      </w:r>
      <w:r w:rsidR="009B44CF">
        <w:rPr>
          <w:lang w:val="en-US"/>
        </w:rPr>
        <w:t>non</w:t>
      </w:r>
      <w:r w:rsidR="00BB5594">
        <w:rPr>
          <w:lang w:val="en-US"/>
        </w:rPr>
        <w:t>-</w:t>
      </w:r>
      <w:r w:rsidR="009B44CF">
        <w:rPr>
          <w:lang w:val="en-US"/>
        </w:rPr>
        <w:t xml:space="preserve">treated </w:t>
      </w:r>
      <w:r w:rsidR="00153C90">
        <w:rPr>
          <w:lang w:val="en-US"/>
        </w:rPr>
        <w:t>group, and a “CION+TPPU”</w:t>
      </w:r>
      <w:r w:rsidR="009B44CF">
        <w:rPr>
          <w:lang w:val="en-US"/>
        </w:rPr>
        <w:t xml:space="preserve"> group</w:t>
      </w:r>
      <w:r w:rsidR="00153C90">
        <w:rPr>
          <w:lang w:val="en-US"/>
        </w:rPr>
        <w:t>.</w:t>
      </w:r>
      <w:r w:rsidR="00C16E3A">
        <w:rPr>
          <w:lang w:val="en-US"/>
        </w:rPr>
        <w:t xml:space="preserve"> T</w:t>
      </w:r>
      <w:r w:rsidR="00684385">
        <w:rPr>
          <w:lang w:val="en-US"/>
        </w:rPr>
        <w:t xml:space="preserve">he treatment with TPPU (3mg/Kg) was done daily and started on the third day after CION. </w:t>
      </w:r>
      <w:r w:rsidR="00D30259">
        <w:rPr>
          <w:lang w:val="en-US"/>
        </w:rPr>
        <w:t xml:space="preserve">The mechanical sensitivity was assessed </w:t>
      </w:r>
      <w:r w:rsidR="009B44CF">
        <w:rPr>
          <w:lang w:val="en-US"/>
        </w:rPr>
        <w:t xml:space="preserve">in the </w:t>
      </w:r>
      <w:proofErr w:type="spellStart"/>
      <w:r w:rsidR="009B44CF">
        <w:rPr>
          <w:lang w:val="en-US"/>
        </w:rPr>
        <w:t>vibrissal</w:t>
      </w:r>
      <w:proofErr w:type="spellEnd"/>
      <w:r w:rsidR="009B44CF">
        <w:rPr>
          <w:lang w:val="en-US"/>
        </w:rPr>
        <w:t xml:space="preserve"> area </w:t>
      </w:r>
      <w:r w:rsidR="00D30259">
        <w:rPr>
          <w:lang w:val="en-US"/>
        </w:rPr>
        <w:t>using Von</w:t>
      </w:r>
      <w:r w:rsidR="0004493A">
        <w:rPr>
          <w:lang w:val="en-US"/>
        </w:rPr>
        <w:t xml:space="preserve"> </w:t>
      </w:r>
      <w:r w:rsidR="00D30259">
        <w:rPr>
          <w:lang w:val="en-US"/>
        </w:rPr>
        <w:t>Frey filaments</w:t>
      </w:r>
      <w:r w:rsidR="009B44CF">
        <w:rPr>
          <w:lang w:val="en-US"/>
        </w:rPr>
        <w:t xml:space="preserve"> and the</w:t>
      </w:r>
      <w:r w:rsidR="0004493A">
        <w:rPr>
          <w:lang w:val="en-US"/>
        </w:rPr>
        <w:t xml:space="preserve"> “up and down” method. For the </w:t>
      </w:r>
      <w:r w:rsidR="00B705F8">
        <w:rPr>
          <w:lang w:val="en-US"/>
        </w:rPr>
        <w:t>non-evoked pain</w:t>
      </w:r>
      <w:r w:rsidR="0004493A">
        <w:rPr>
          <w:lang w:val="en-US"/>
        </w:rPr>
        <w:t xml:space="preserve"> </w:t>
      </w:r>
      <w:r w:rsidR="00D42133">
        <w:rPr>
          <w:lang w:val="en-US"/>
        </w:rPr>
        <w:t>behavior,</w:t>
      </w:r>
      <w:r w:rsidR="0004493A">
        <w:rPr>
          <w:lang w:val="en-US"/>
        </w:rPr>
        <w:t xml:space="preserve"> the animals were observed for 30 minutes and the rubbing response w</w:t>
      </w:r>
      <w:r w:rsidR="00D42133">
        <w:rPr>
          <w:lang w:val="en-US"/>
        </w:rPr>
        <w:t>as</w:t>
      </w:r>
      <w:r w:rsidR="0004493A">
        <w:rPr>
          <w:lang w:val="en-US"/>
        </w:rPr>
        <w:t xml:space="preserve"> recorded. </w:t>
      </w:r>
      <w:r w:rsidR="002311AE">
        <w:rPr>
          <w:lang w:val="en-US"/>
        </w:rPr>
        <w:t xml:space="preserve">To assess the cold hypersensitivity, acetone was applied in the </w:t>
      </w:r>
      <w:proofErr w:type="spellStart"/>
      <w:r w:rsidR="002311AE">
        <w:rPr>
          <w:lang w:val="en-US"/>
        </w:rPr>
        <w:t>vibrissal</w:t>
      </w:r>
      <w:proofErr w:type="spellEnd"/>
      <w:r w:rsidR="002311AE">
        <w:rPr>
          <w:lang w:val="en-US"/>
        </w:rPr>
        <w:t xml:space="preserve"> area and the response was measured for 60 seconds</w:t>
      </w:r>
      <w:r w:rsidR="00D42133">
        <w:rPr>
          <w:lang w:val="en-US"/>
        </w:rPr>
        <w:t>.</w:t>
      </w:r>
      <w:r w:rsidR="00153C90">
        <w:rPr>
          <w:lang w:val="en-US"/>
        </w:rPr>
        <w:t xml:space="preserve"> Acetone w</w:t>
      </w:r>
      <w:r w:rsidR="00D42133">
        <w:rPr>
          <w:lang w:val="en-US"/>
        </w:rPr>
        <w:t>as</w:t>
      </w:r>
      <w:r w:rsidR="00153C90">
        <w:rPr>
          <w:lang w:val="en-US"/>
        </w:rPr>
        <w:t xml:space="preserve"> applied three times and the average nociceptive time was calculated. </w:t>
      </w:r>
      <w:r w:rsidR="008236C9">
        <w:rPr>
          <w:lang w:val="en-US"/>
        </w:rPr>
        <w:t xml:space="preserve">The results were analyzed by </w:t>
      </w:r>
      <w:r w:rsidR="008236C9" w:rsidRPr="008236C9">
        <w:rPr>
          <w:lang w:val="en-US"/>
        </w:rPr>
        <w:t>two-way ANOVA, followed by the post hoc Bonferroni’s test</w:t>
      </w:r>
      <w:r w:rsidR="008236C9">
        <w:rPr>
          <w:lang w:val="en-US"/>
        </w:rPr>
        <w:t xml:space="preserve">. </w:t>
      </w:r>
      <w:r w:rsidR="00820F7F">
        <w:rPr>
          <w:lang w:val="en-US"/>
        </w:rPr>
        <w:t xml:space="preserve">The CION caused non-evoked nociceptive behavior and mechanical hypersensitivity throughout the days observed but did not induce </w:t>
      </w:r>
      <w:r w:rsidR="00820F7F" w:rsidRPr="001624A6">
        <w:rPr>
          <w:lang w:val="en-US"/>
        </w:rPr>
        <w:t xml:space="preserve">hypersensitivity </w:t>
      </w:r>
      <w:proofErr w:type="spellStart"/>
      <w:r w:rsidR="00820F7F" w:rsidRPr="001624A6">
        <w:rPr>
          <w:lang w:val="en-US"/>
        </w:rPr>
        <w:t>to</w:t>
      </w:r>
      <w:proofErr w:type="spellEnd"/>
      <w:r w:rsidR="00820F7F" w:rsidRPr="001624A6">
        <w:rPr>
          <w:lang w:val="en-US"/>
        </w:rPr>
        <w:t xml:space="preserve"> cold</w:t>
      </w:r>
      <w:r w:rsidR="00820F7F">
        <w:rPr>
          <w:lang w:val="en-US"/>
        </w:rPr>
        <w:t xml:space="preserve"> in comparison to sham-operated mice. </w:t>
      </w:r>
      <w:r w:rsidR="006A0AA4">
        <w:rPr>
          <w:lang w:val="en-US"/>
        </w:rPr>
        <w:t xml:space="preserve">The treatment with TPPU reduced the mechanical allodynia </w:t>
      </w:r>
      <w:r w:rsidR="00D727EB">
        <w:rPr>
          <w:lang w:val="en-US"/>
        </w:rPr>
        <w:t xml:space="preserve">in all </w:t>
      </w:r>
      <w:r w:rsidR="008415C4">
        <w:rPr>
          <w:lang w:val="en-US"/>
        </w:rPr>
        <w:t xml:space="preserve">of the </w:t>
      </w:r>
      <w:r w:rsidR="00D727EB">
        <w:rPr>
          <w:lang w:val="en-US"/>
        </w:rPr>
        <w:t xml:space="preserve">days observed </w:t>
      </w:r>
      <w:r w:rsidR="006A0AA4">
        <w:rPr>
          <w:lang w:val="en-US"/>
        </w:rPr>
        <w:t>caused by the infraorbital nerve constriction</w:t>
      </w:r>
      <w:r w:rsidR="00820F7F">
        <w:rPr>
          <w:lang w:val="en-US"/>
        </w:rPr>
        <w:t>, and, f</w:t>
      </w:r>
      <w:r w:rsidR="00B705F8">
        <w:rPr>
          <w:lang w:val="en-US"/>
        </w:rPr>
        <w:t xml:space="preserve">rom day 7 to 20, the non-evoked pain behavior was </w:t>
      </w:r>
      <w:r w:rsidR="001624A6">
        <w:rPr>
          <w:lang w:val="en-US"/>
        </w:rPr>
        <w:t xml:space="preserve">prevented by the treatment. </w:t>
      </w:r>
      <w:r w:rsidR="00842B33">
        <w:rPr>
          <w:lang w:val="en-US"/>
        </w:rPr>
        <w:t xml:space="preserve">Our data suggest that the treatment using TPPU has antinociceptive effects in a model of infraorbital nerve constriction. More studies are necessary to understand the </w:t>
      </w:r>
      <w:r w:rsidR="009B44CF">
        <w:rPr>
          <w:lang w:val="en-US"/>
        </w:rPr>
        <w:t xml:space="preserve">molecular </w:t>
      </w:r>
      <w:r w:rsidR="00842B33">
        <w:rPr>
          <w:lang w:val="en-US"/>
        </w:rPr>
        <w:t xml:space="preserve">mechanisms </w:t>
      </w:r>
      <w:r w:rsidR="009B44CF">
        <w:rPr>
          <w:lang w:val="en-US"/>
        </w:rPr>
        <w:t>involved in these effects</w:t>
      </w:r>
      <w:r w:rsidR="00842B33">
        <w:rPr>
          <w:lang w:val="en-US"/>
        </w:rPr>
        <w:t xml:space="preserve">. </w:t>
      </w:r>
    </w:p>
    <w:p w14:paraId="13F26D99" w14:textId="56C1783B" w:rsidR="00473C6E" w:rsidRDefault="00473C6E" w:rsidP="009446F6">
      <w:pPr>
        <w:rPr>
          <w:lang w:val="en-US"/>
        </w:rPr>
      </w:pPr>
      <w:r>
        <w:rPr>
          <w:lang w:val="en-US"/>
        </w:rPr>
        <w:t>Keywords: orofacial pain, antinociceptive, treatment</w:t>
      </w:r>
    </w:p>
    <w:p w14:paraId="1DCD21F9" w14:textId="77777777" w:rsidR="00842B33" w:rsidRDefault="00842B33" w:rsidP="00842B33">
      <w:pPr>
        <w:rPr>
          <w:lang w:val="en-US"/>
        </w:rPr>
      </w:pPr>
    </w:p>
    <w:p w14:paraId="3AE9B001" w14:textId="3211F287" w:rsidR="00820F7F" w:rsidRDefault="00820F7F" w:rsidP="001624A6">
      <w:pPr>
        <w:rPr>
          <w:lang w:val="en-US"/>
        </w:rPr>
      </w:pPr>
    </w:p>
    <w:p w14:paraId="254942E7" w14:textId="541273AF" w:rsidR="00820F7F" w:rsidRPr="00842B33" w:rsidRDefault="00820F7F" w:rsidP="001624A6">
      <w:pPr>
        <w:rPr>
          <w:lang w:val="en-US"/>
        </w:rPr>
      </w:pPr>
    </w:p>
    <w:sectPr w:rsidR="00820F7F" w:rsidRPr="00842B33" w:rsidSect="002959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O0MDIzNbA0MzM0tbRU0lEKTi0uzszPAykwqwUAzKPxKiwAAAA="/>
  </w:docVars>
  <w:rsids>
    <w:rsidRoot w:val="003F27C8"/>
    <w:rsid w:val="0004493A"/>
    <w:rsid w:val="00111FB8"/>
    <w:rsid w:val="00153C90"/>
    <w:rsid w:val="001624A6"/>
    <w:rsid w:val="002311AE"/>
    <w:rsid w:val="00295962"/>
    <w:rsid w:val="002A74ED"/>
    <w:rsid w:val="0034161C"/>
    <w:rsid w:val="003A6E02"/>
    <w:rsid w:val="003F27C8"/>
    <w:rsid w:val="00473C6E"/>
    <w:rsid w:val="0053183B"/>
    <w:rsid w:val="00570608"/>
    <w:rsid w:val="005D215C"/>
    <w:rsid w:val="00612022"/>
    <w:rsid w:val="00684385"/>
    <w:rsid w:val="006A0AA4"/>
    <w:rsid w:val="006E0364"/>
    <w:rsid w:val="00704E3E"/>
    <w:rsid w:val="007462EA"/>
    <w:rsid w:val="007703C0"/>
    <w:rsid w:val="008017B0"/>
    <w:rsid w:val="00820F7F"/>
    <w:rsid w:val="008236C9"/>
    <w:rsid w:val="008415C4"/>
    <w:rsid w:val="00842B33"/>
    <w:rsid w:val="008A3BD9"/>
    <w:rsid w:val="008A6B3C"/>
    <w:rsid w:val="008B3761"/>
    <w:rsid w:val="009446F6"/>
    <w:rsid w:val="00976D35"/>
    <w:rsid w:val="009B44CF"/>
    <w:rsid w:val="00A5697F"/>
    <w:rsid w:val="00AC333A"/>
    <w:rsid w:val="00B13C37"/>
    <w:rsid w:val="00B33462"/>
    <w:rsid w:val="00B53A02"/>
    <w:rsid w:val="00B705F8"/>
    <w:rsid w:val="00BB5594"/>
    <w:rsid w:val="00C16E3A"/>
    <w:rsid w:val="00CA4AF3"/>
    <w:rsid w:val="00CB6ACD"/>
    <w:rsid w:val="00D30259"/>
    <w:rsid w:val="00D42133"/>
    <w:rsid w:val="00D7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4B78E"/>
  <w15:chartTrackingRefBased/>
  <w15:docId w15:val="{5C03ADE8-8A63-4469-B2D4-6BCBA551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C37"/>
    <w:pPr>
      <w:spacing w:line="480" w:lineRule="auto"/>
      <w:ind w:firstLine="709"/>
      <w:jc w:val="both"/>
    </w:pPr>
    <w:rPr>
      <w:rFonts w:ascii="Arial" w:hAnsi="Arial"/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s0">
    <w:name w:val="ls0"/>
    <w:basedOn w:val="Fontepargpadro"/>
    <w:rsid w:val="00612022"/>
  </w:style>
  <w:style w:type="character" w:customStyle="1" w:styleId="ws0">
    <w:name w:val="ws0"/>
    <w:basedOn w:val="Fontepargpadro"/>
    <w:rsid w:val="00770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Claudia Couto</dc:creator>
  <cp:keywords/>
  <dc:description/>
  <cp:lastModifiedBy>Ana Claudia Couto</cp:lastModifiedBy>
  <cp:revision>35</cp:revision>
  <dcterms:created xsi:type="dcterms:W3CDTF">2021-09-15T11:54:00Z</dcterms:created>
  <dcterms:modified xsi:type="dcterms:W3CDTF">2021-09-17T21:51:00Z</dcterms:modified>
</cp:coreProperties>
</file>